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r w:rsidDel="00000000" w:rsidR="00000000" w:rsidRPr="00000000">
        <w:rPr>
          <w:b w:val="1"/>
          <w:sz w:val="24"/>
          <w:szCs w:val="24"/>
          <w:rtl w:val="0"/>
        </w:rPr>
        <w:t xml:space="preserve">Capstone Assignment Sharing Breakout Directions</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t xml:space="preserve">When you go into your breakout groups, please divide the time among all participants in even units, saving one whole unit at the end of the presentations for a brief discussion of common experiences noted among the group. </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Ask for a timekeeper to ensure participants abide by this framework and get the groups back to the large group at the appointed time. Upon reconvening to the large class group, each breakout group should be ready to share their key common experiences in the large group.</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t xml:space="preserve">In the breakout group, each participant will have the allotted amount of time to: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 1-minute description of their project,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some important challenges encountered in creating their project,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biggest surprises, curiosities, or important learning gleaned from the experience,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how this experience aligned with the learning outcomes for this course.</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When participants are not presenting, they will listen to colleagues, collect any great ideas they want to try later, note, and analyse common trends in the experiences, and be ready to contribute those ideas in the breakout summary.</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798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0h9k+kWiqlQ6TCgdujAhGZ/uA==">CgMxLjA4AHIhMU91U3ZmN3p2QXVpU2N6dWdDa2FqYXMxaXM2aW5McXFQ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2023-08-20T04:39:00Z</dcterms:created>
  <dc:creator>Paula Weaver, Ph.D.</dc:creator>
</cp:coreProperties>
</file>